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661DCD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Rilevazione iniziata e conclusa il</w:t>
      </w:r>
      <w:bookmarkStart w:id="0" w:name="_GoBack"/>
      <w:bookmarkEnd w:id="0"/>
      <w:r w:rsidR="0048249A" w:rsidRPr="0041405A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29/06/2022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661DCD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 ufficio periferico</w:t>
      </w:r>
    </w:p>
    <w:p w:rsidR="00661DCD" w:rsidRPr="0041405A" w:rsidRDefault="00661DCD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</w:t>
      </w:r>
      <w:r w:rsidR="00661DCD">
        <w:rPr>
          <w:rFonts w:ascii="Titillium" w:hAnsi="Titillium"/>
          <w:sz w:val="20"/>
          <w:szCs w:val="20"/>
        </w:rPr>
        <w:t xml:space="preserve"> e verifica diretta sul sito istituzionale, anche attraverso l’utilizzo di supporti informatici.</w:t>
      </w:r>
    </w:p>
    <w:p w:rsidR="00661DCD" w:rsidRDefault="00661DCD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661DCD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Nessuno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661DCD" w:rsidRPr="00661DCD" w:rsidRDefault="00661DCD">
      <w:pPr>
        <w:spacing w:line="360" w:lineRule="auto"/>
        <w:rPr>
          <w:rFonts w:ascii="Titillium" w:hAnsi="Titillium"/>
          <w:b/>
          <w:i/>
          <w:sz w:val="20"/>
          <w:szCs w:val="20"/>
          <w:u w:val="single"/>
        </w:rPr>
      </w:pPr>
      <w:r w:rsidRPr="00661DCD">
        <w:rPr>
          <w:rFonts w:ascii="Titillium" w:hAnsi="Titillium"/>
          <w:b/>
          <w:i/>
          <w:sz w:val="20"/>
          <w:szCs w:val="20"/>
          <w:u w:val="single"/>
        </w:rPr>
        <w:t>Nessuna</w:t>
      </w:r>
    </w:p>
    <w:sectPr w:rsidR="00661DCD" w:rsidRPr="00661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22B" w:rsidRDefault="00F4322B">
      <w:pPr>
        <w:spacing w:after="0" w:line="240" w:lineRule="auto"/>
      </w:pPr>
      <w:r>
        <w:separator/>
      </w:r>
    </w:p>
  </w:endnote>
  <w:endnote w:type="continuationSeparator" w:id="0">
    <w:p w:rsidR="00F4322B" w:rsidRDefault="00F4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22B" w:rsidRDefault="00F4322B">
      <w:pPr>
        <w:spacing w:after="0" w:line="240" w:lineRule="auto"/>
      </w:pPr>
      <w:r>
        <w:separator/>
      </w:r>
    </w:p>
  </w:footnote>
  <w:footnote w:type="continuationSeparator" w:id="0">
    <w:p w:rsidR="00F4322B" w:rsidRDefault="00F4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37B4A"/>
    <w:rsid w:val="0016468A"/>
    <w:rsid w:val="0024134D"/>
    <w:rsid w:val="00257242"/>
    <w:rsid w:val="002C572E"/>
    <w:rsid w:val="003218EE"/>
    <w:rsid w:val="003E1CF5"/>
    <w:rsid w:val="0041405A"/>
    <w:rsid w:val="00416AD0"/>
    <w:rsid w:val="0048249A"/>
    <w:rsid w:val="004833D5"/>
    <w:rsid w:val="004F18CD"/>
    <w:rsid w:val="00506EFE"/>
    <w:rsid w:val="0060106A"/>
    <w:rsid w:val="00661DCD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4322B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DBA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Pier Luigi Francesco CIAPPEDDU</cp:lastModifiedBy>
  <cp:revision>3</cp:revision>
  <cp:lastPrinted>2018-02-28T15:30:00Z</cp:lastPrinted>
  <dcterms:created xsi:type="dcterms:W3CDTF">2022-10-03T09:30:00Z</dcterms:created>
  <dcterms:modified xsi:type="dcterms:W3CDTF">2022-10-03T09:39:00Z</dcterms:modified>
</cp:coreProperties>
</file>